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A7A7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7A2F5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7F26D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7777777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7F26D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94CF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</w:p>
    <w:p w14:paraId="597B582E" w14:textId="77777777" w:rsidR="00D21A4C" w:rsidRPr="00D21A4C" w:rsidRDefault="00D21A4C" w:rsidP="007F26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7120123B" w14:textId="5742D75A" w:rsidR="000A4C4D" w:rsidRPr="000A4C4D" w:rsidRDefault="000A4C4D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Umowa zostaje zawarta zgodnie z art. 2 ust. 1 pkt 1 ustawy z dnia 11 września 2019r. – Prawo Zamówień Publicznych (</w:t>
      </w:r>
      <w:bookmarkStart w:id="0" w:name="_Hlk127882096"/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Dz.U. z 2022r., poz. 1710 ze zm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C1EC22F" w14:textId="1CAD4504" w:rsidR="00D21A4C" w:rsidRPr="000A4C4D" w:rsidRDefault="00D21A4C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Sprzedający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przedmiotu umowy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instalacji</w:t>
      </w:r>
      <w:r w:rsidR="00CB755D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uruchomienia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obsługi 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rzecz </w:t>
      </w:r>
      <w:r w:rsidR="00144A2A"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………………………, zwanego dalej </w:t>
      </w: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419A930A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przedmiot umowy,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</w:t>
      </w:r>
    </w:p>
    <w:p w14:paraId="563B9265" w14:textId="77777777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oświadcza, że przedmiot umowy jest produktem fabrycznie nowym.</w:t>
      </w:r>
    </w:p>
    <w:p w14:paraId="466C0EEC" w14:textId="61AFD838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(słownie……………………………………………).</w:t>
      </w:r>
    </w:p>
    <w:p w14:paraId="4EDEB2F7" w14:textId="77777777" w:rsidR="00D21A4C" w:rsidRPr="00D21A4C" w:rsidRDefault="00D21A4C" w:rsidP="007F26DF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pakowania przedmiotu umowy i znakowania wymaganego do przewozu,</w:t>
      </w:r>
    </w:p>
    <w:p w14:paraId="09572670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przedmiotu umowy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przedmiotu umowy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załadunku i rozładunku przedmiotu umowy,</w:t>
      </w:r>
    </w:p>
    <w:p w14:paraId="436A2950" w14:textId="54F83F9A" w:rsid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przedmiotu umowy, jego uruchomienie oraz przeprowadzenie szkolenia 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47324B" w:rsidR="008E0A13" w:rsidRPr="00D21A4C" w:rsidRDefault="008E0A13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8,</w:t>
      </w:r>
    </w:p>
    <w:p w14:paraId="5ABFBA54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85C014F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52CB81A0" w:rsidR="00D21A4C" w:rsidRPr="00076F93" w:rsidRDefault="00D21A4C" w:rsidP="00076F93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630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przedmiotu umowy 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do </w:t>
      </w:r>
      <w:r w:rsidR="001D5EA2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…………………..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od daty zawarcia umowy</w:t>
      </w:r>
      <w:r w:rsidR="00057A6E" w:rsidRPr="00076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07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23B8BA07" w:rsidR="00D21A4C" w:rsidRPr="00D21A4C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Jako termin zakończenia realizacji umowy rozumie się datę podpisania przez strony protokołu ze szkolenia, którego wzór stanowi Załącznik Nr 5 do niniejszej umowy.</w:t>
      </w:r>
    </w:p>
    <w:p w14:paraId="5376565B" w14:textId="77777777" w:rsidR="00D21A4C" w:rsidRPr="00D21A4C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Przedmiot umowy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7F26DF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instrukcjami obsługi w języku polskim,</w:t>
      </w:r>
    </w:p>
    <w:p w14:paraId="72221546" w14:textId="77777777" w:rsidR="00D21A4C" w:rsidRPr="00D21A4C" w:rsidRDefault="00D21A4C" w:rsidP="007F26DF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77777777" w:rsidR="00D21A4C" w:rsidRPr="00D21A4C" w:rsidRDefault="00D21A4C" w:rsidP="007F26DF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dokumentem określającym zasady świadczenia usług przez autoryzowany serwis w okresie gwarancyjnym i pogwarancyjnym.</w:t>
      </w:r>
    </w:p>
    <w:p w14:paraId="60C3FB7E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1A931B65" w:rsidR="00CB755D" w:rsidRPr="00332B81" w:rsidRDefault="00D21A4C" w:rsidP="00332B8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332B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30601033" w14:textId="77777777" w:rsidR="00CB755D" w:rsidRPr="00715FF4" w:rsidRDefault="00CB755D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1E035386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4815661B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7FAECA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7056B077" w14:textId="75CBA7C9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§1 ust. 4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48BCBCBE" w14:textId="77777777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płatności:</w:t>
      </w:r>
    </w:p>
    <w:p w14:paraId="0BA19414" w14:textId="31C5FD55" w:rsidR="00D21A4C" w:rsidRPr="00B73801" w:rsidRDefault="00D21A4C" w:rsidP="007F26DF">
      <w:pPr>
        <w:numPr>
          <w:ilvl w:val="0"/>
          <w:numId w:val="10"/>
        </w:numPr>
        <w:tabs>
          <w:tab w:val="left" w:pos="568"/>
          <w:tab w:val="center" w:pos="482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……………………… (słownie………………………) brutto za zakupiony sprzęt,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 i 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7E62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jego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uruchomienie oraz przeprowadzeni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szkolenia zostanie uregulowana po dostarczeniu przedmiotu umowy, co zostanie potwierdzone podpisaniem przez strony protokołu zdawczo – odbiorczego,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instalacji, uruchomienia oraz szkolenia, których wzór stanowi Załącznik Nr 2,3,4,5 do niniejszej umowy, pod warunkiem dostarczenia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Kupującemu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– 60 dni od daty doręczenia  faktury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18127F51" w14:textId="3FED2000" w:rsidR="003E2681" w:rsidRPr="003E2681" w:rsidRDefault="003E2681" w:rsidP="007F26DF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przedmiotu umowy,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Pr="003E2681">
        <w:rPr>
          <w:rFonts w:ascii="Times New Roman" w:hAnsi="Times New Roman" w:cs="Times New Roman"/>
          <w:b/>
          <w:sz w:val="28"/>
          <w:szCs w:val="28"/>
        </w:rPr>
        <w:t>Wykonawcy</w:t>
      </w:r>
      <w:r w:rsidRPr="003E2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04776" w14:textId="63C51BD6" w:rsidR="003E2681" w:rsidRPr="003E2681" w:rsidRDefault="003E2681" w:rsidP="007F26DF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715F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1BA7FCEB" w:rsidR="00D21A4C" w:rsidRPr="001731B6" w:rsidRDefault="00D21A4C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 ustawy z dnia 11 marca 2004 roku o podatku od towarów i usług (</w:t>
      </w:r>
      <w:r w:rsidR="001C39BA" w:rsidRP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tj. Dz.U. z 2022 r.; poz. 931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jest:……………………….</w:t>
      </w:r>
    </w:p>
    <w:p w14:paraId="7DB5447A" w14:textId="77777777" w:rsidR="00510153" w:rsidRPr="00715FF4" w:rsidRDefault="00510153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Zamawiający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Umowy bez zgody 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Zamawiającego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 pod rygorem nieważności. W przypadku zbycia wierzytelności, 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Wykonawca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Zamawiającemu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7F26DF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3056B113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08D405B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48ECE359" w14:textId="62A6156B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Sprzedający oświadcza, że dostarczony przedmiot umowy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(Dz.U z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poz.974</w:t>
      </w:r>
      <w:r w:rsidR="0052163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ze zm.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miesięcznej gwarancji na przedmiot umowy.</w:t>
      </w:r>
    </w:p>
    <w:p w14:paraId="5B90BA88" w14:textId="0C97177B" w:rsidR="00D21A4C" w:rsidRPr="00D21A4C" w:rsidRDefault="00D21A4C" w:rsidP="007F26DF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Gwarancja rozpoczyna się od daty podpisania przez strony protokołu z 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5A50D855" w14:textId="12A4A495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gwarancyjny w zakresie dostarczonego przedmiotu umowy prowadzi</w:t>
      </w:r>
      <w:r w:rsidR="00FE24A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w…………………………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…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4FB45622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przedmiotu umowy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oprogramowania, we własnym zakresie i na własny koszt</w:t>
      </w:r>
      <w:r w:rsidR="00A917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4836E29" w14:textId="2D5EE18F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przedmiotu umowy oraz wystawi certyfikat przeszkolonym osobom.</w:t>
      </w:r>
    </w:p>
    <w:p w14:paraId="4125D3D7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 w wyniku nie stosowania się użytkownika do dostarczonych instrukcji obsługi.</w:t>
      </w:r>
    </w:p>
    <w:p w14:paraId="633CBABE" w14:textId="3DB4D18A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przedmiotu umowy,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nowy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5C461C91" w:rsidR="00CF7763" w:rsidRPr="00415A96" w:rsidRDefault="00CF7763" w:rsidP="007F26DF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 przeglądów serwisowych potwierdzonych raportem serwisowym oraz wpisem do paszportu technicznego przedmiotu umowy.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do </w:t>
      </w:r>
      <w:r w:rsidR="007F26DF">
        <w:rPr>
          <w:rFonts w:ascii="Times New Roman" w:hAnsi="Times New Roman" w:cs="Times New Roman"/>
          <w:sz w:val="28"/>
          <w:szCs w:val="28"/>
        </w:rPr>
        <w:t xml:space="preserve">przedstawiciela Zespołu Aparatury Medycznej </w:t>
      </w:r>
      <w:r w:rsidR="007F26DF" w:rsidRPr="007F26DF">
        <w:rPr>
          <w:rFonts w:ascii="Times New Roman" w:hAnsi="Times New Roman" w:cs="Times New Roman"/>
          <w:b/>
          <w:bCs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>
        <w:rPr>
          <w:rFonts w:ascii="Times New Roman" w:hAnsi="Times New Roman" w:cs="Times New Roman"/>
          <w:sz w:val="28"/>
          <w:szCs w:val="28"/>
        </w:rPr>
        <w:t>przedmiotu umowy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przez Inżyniera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7F26DF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przedmiot umowy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>i jakościowe dostarczonego przedmiotu umowy.</w:t>
      </w:r>
    </w:p>
    <w:p w14:paraId="139EA419" w14:textId="7370C078" w:rsidR="00CE76BA" w:rsidRP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535F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48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godzin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dnia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przedmiotu umowy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tel.: …………………… lub korespondencją e-mail na adres: ……………………).</w:t>
      </w:r>
    </w:p>
    <w:p w14:paraId="480A0D00" w14:textId="79CDD5F9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582CE4C2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potrzeby niniejszej umowy Strony za dni robocze uznają dni od poniedziałku do piątku z wyłączeniem dni ustawowo wolnych od pracy.</w:t>
      </w:r>
    </w:p>
    <w:p w14:paraId="4CEFA9A6" w14:textId="3D9C0D5D" w:rsid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D5EA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7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sprowadzenia części zamiennych z zagranicy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0D60B9A6" w:rsidR="00542849" w:rsidRPr="00CE76BA" w:rsidRDefault="00542849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trwania naprawy powoduje przedłużenie okresu udzielonej gwarancji.</w:t>
      </w:r>
    </w:p>
    <w:p w14:paraId="7F7BFD26" w14:textId="35F202AB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przedmiotu umowy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przedmiot umowy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2D7FD1F0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20CD8CBB" w:rsid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089CA7C5" w14:textId="77777777" w:rsidR="00C55315" w:rsidRPr="00D21A4C" w:rsidRDefault="00C55315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51E943F5" w14:textId="77777777" w:rsidR="00D21A4C" w:rsidRPr="00D21A4C" w:rsidRDefault="00D21A4C" w:rsidP="007F26DF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hanging="2880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5424B07C" w:rsid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Strony mogą ustalić inny termin wykonania obowiązku umowy z zachowaniem formy pisemnej.</w:t>
      </w:r>
    </w:p>
    <w:p w14:paraId="391233E8" w14:textId="4B5C3B6E" w:rsidR="00D21A4C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przedmiot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77777777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musi być 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Strony mogą ustalić inny termin wykonania obowiązku umowy, z zachowaniem formy pisemnej.</w:t>
      </w:r>
    </w:p>
    <w:p w14:paraId="355143D6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może odstąpić od umowy jeżeli wystąpią istotne zmiany okoliczności powodujące, że wykonanie umowy nie leży w interesie publicznym, czego nie można było przewidzieć w chwili zawarcia umowy. Odstąpienie od umowy może nastąpić w tym wypadku w terminie 30 dni od daty powzięcia wiadomości o powyższych okolicznościach. </w:t>
      </w:r>
    </w:p>
    <w:p w14:paraId="6DBF95D2" w14:textId="39363CA2" w:rsidR="00DC6F35" w:rsidRPr="00DC6F35" w:rsidRDefault="00E37362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30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70C0F29B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ust.4 niniejszej umowy.</w:t>
      </w:r>
    </w:p>
    <w:p w14:paraId="188F833B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ust.4 niniejszej umowy.</w:t>
      </w:r>
      <w:bookmarkStart w:id="1" w:name="_Hlk124511702"/>
    </w:p>
    <w:p w14:paraId="17156544" w14:textId="159B7081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umowy określonego w §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ust.1 niniejszej umowy z przyczyn będących 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0,2%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</w:t>
      </w:r>
      <w:r w:rsidR="009F2DA0">
        <w:rPr>
          <w:rFonts w:ascii="Times New Roman" w:eastAsia="Times New Roman" w:hAnsi="Times New Roman" w:cs="Times New Roman"/>
          <w:sz w:val="28"/>
          <w:szCs w:val="28"/>
          <w:lang w:eastAsia="ar-SA"/>
        </w:rPr>
        <w:t>wykonanego</w:t>
      </w:r>
      <w:r w:rsidR="00893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w terminie przedmiotu umowy, za każdy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1"/>
    </w:p>
    <w:p w14:paraId="69E2D5D2" w14:textId="73FF41E8" w:rsidR="00C55315" w:rsidRPr="008933E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lastRenderedPageBreak/>
        <w:t xml:space="preserve">W przypadku nie usunięcia wad w terminie określonym w </w:t>
      </w:r>
      <w:r w:rsidRPr="00C55315">
        <w:rPr>
          <w:rFonts w:ascii="Times New Roman" w:hAnsi="Times New Roman" w:cs="Times New Roman"/>
          <w:bCs/>
          <w:sz w:val="28"/>
          <w:szCs w:val="28"/>
        </w:rPr>
        <w:t>§</w:t>
      </w:r>
      <w:r w:rsidRPr="00C55315">
        <w:rPr>
          <w:rFonts w:ascii="Times New Roman" w:hAnsi="Times New Roman" w:cs="Times New Roman"/>
          <w:sz w:val="28"/>
          <w:szCs w:val="28"/>
        </w:rPr>
        <w:t>4 ust.1</w:t>
      </w:r>
      <w:r w:rsidR="005E0173" w:rsidRPr="00C55315">
        <w:rPr>
          <w:rFonts w:ascii="Times New Roman" w:hAnsi="Times New Roman" w:cs="Times New Roman"/>
          <w:sz w:val="28"/>
          <w:szCs w:val="28"/>
        </w:rPr>
        <w:t>3</w:t>
      </w:r>
      <w:r w:rsidRPr="00C55315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CF7763" w:rsidRPr="00C5531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C5531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057A6E" w:rsidRPr="00C55315">
        <w:rPr>
          <w:rFonts w:ascii="Times New Roman" w:hAnsi="Times New Roman" w:cs="Times New Roman"/>
          <w:sz w:val="28"/>
          <w:szCs w:val="28"/>
        </w:rPr>
        <w:t>2</w:t>
      </w:r>
      <w:r w:rsidRPr="00C55315">
        <w:rPr>
          <w:rFonts w:ascii="Times New Roman" w:hAnsi="Times New Roman" w:cs="Times New Roman"/>
          <w:sz w:val="28"/>
          <w:szCs w:val="28"/>
        </w:rPr>
        <w:t xml:space="preserve"> dni roboczych od momentu zgłoszenia, </w:t>
      </w:r>
      <w:r w:rsidR="00CF7763"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0,2% ceny brutto za wykonanie umowy,</w:t>
      </w:r>
      <w:r w:rsidR="005E017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5E0173" w:rsidRPr="00C55315">
        <w:rPr>
          <w:rFonts w:ascii="Times New Roman" w:hAnsi="Times New Roman" w:cs="Times New Roman"/>
          <w:sz w:val="28"/>
          <w:szCs w:val="28"/>
        </w:rPr>
        <w:t xml:space="preserve">, </w:t>
      </w:r>
      <w:r w:rsidRPr="00C55315">
        <w:rPr>
          <w:rFonts w:ascii="Times New Roman" w:hAnsi="Times New Roman" w:cs="Times New Roman"/>
          <w:sz w:val="28"/>
          <w:szCs w:val="28"/>
        </w:rPr>
        <w:t>za każdy dzień niesprawności przedmiot</w:t>
      </w:r>
      <w:r w:rsidR="003E2681" w:rsidRPr="00C55315">
        <w:rPr>
          <w:rFonts w:ascii="Times New Roman" w:hAnsi="Times New Roman" w:cs="Times New Roman"/>
          <w:sz w:val="28"/>
          <w:szCs w:val="28"/>
        </w:rPr>
        <w:t>u</w:t>
      </w:r>
      <w:r w:rsidRPr="00C55315">
        <w:rPr>
          <w:rFonts w:ascii="Times New Roman" w:hAnsi="Times New Roman" w:cs="Times New Roman"/>
          <w:sz w:val="28"/>
          <w:szCs w:val="28"/>
        </w:rPr>
        <w:t xml:space="preserve"> umowy</w:t>
      </w:r>
      <w:r w:rsidR="000E4879" w:rsidRPr="00C55315">
        <w:rPr>
          <w:rFonts w:ascii="Times New Roman" w:hAnsi="Times New Roman" w:cs="Times New Roman"/>
          <w:sz w:val="28"/>
          <w:szCs w:val="28"/>
        </w:rPr>
        <w:t>.</w:t>
      </w:r>
    </w:p>
    <w:p w14:paraId="229045E9" w14:textId="26971F73" w:rsidR="002175AA" w:rsidRPr="00C55315" w:rsidRDefault="002175AA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przeglądu serwisowego, zgodnie z § 4 ust. 8 Umowy, Kupujący ma prawo naliczyć kary </w:t>
      </w:r>
      <w:r w:rsidR="008933E5">
        <w:rPr>
          <w:rFonts w:ascii="Times New Roman" w:hAnsi="Times New Roman" w:cs="Times New Roman"/>
          <w:sz w:val="28"/>
          <w:szCs w:val="28"/>
        </w:rPr>
        <w:t xml:space="preserve">umowne w wysokości </w:t>
      </w:r>
      <w:r w:rsidR="00304A25">
        <w:rPr>
          <w:rFonts w:ascii="Times New Roman" w:hAnsi="Times New Roman" w:cs="Times New Roman"/>
          <w:sz w:val="28"/>
          <w:szCs w:val="28"/>
        </w:rPr>
        <w:t>3000,00</w:t>
      </w:r>
      <w:r w:rsidR="008933E5">
        <w:rPr>
          <w:rFonts w:ascii="Times New Roman" w:hAnsi="Times New Roman" w:cs="Times New Roman"/>
          <w:sz w:val="28"/>
          <w:szCs w:val="28"/>
        </w:rPr>
        <w:t xml:space="preserve"> zł , za każdy taki przypadek.</w:t>
      </w:r>
    </w:p>
    <w:p w14:paraId="0B351D98" w14:textId="77777777" w:rsidR="00C55315" w:rsidRPr="00C55315" w:rsidRDefault="000E4879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C55315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C55315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6C4767CA" w14:textId="77777777" w:rsidR="00C55315" w:rsidRPr="00C5531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C55315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C55315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C55315">
        <w:rPr>
          <w:rFonts w:ascii="Times New Roman" w:hAnsi="Times New Roman" w:cs="Times New Roman"/>
          <w:sz w:val="28"/>
          <w:szCs w:val="28"/>
        </w:rPr>
        <w:t>wyraża zgodę.</w:t>
      </w:r>
    </w:p>
    <w:p w14:paraId="23883BB9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Sprzedającego,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ust.4  </w:t>
      </w:r>
      <w:r w:rsidR="003278E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15AF7C77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zobowiązuje się do przeprowadzenia zgodnie z polskim prawem utylizacji opakowań i odpadów powstałych w trakcie dostaw przedmiotu umowy.</w:t>
      </w:r>
    </w:p>
    <w:p w14:paraId="2FDF90CD" w14:textId="5C0BF769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pkt 1 niniejszej umowy</w:t>
      </w:r>
      <w:r w:rsidR="00CF34F6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>(Dz. U. z 2022</w:t>
      </w:r>
      <w:r w:rsidR="00FC1E39" w:rsidRPr="00C55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>r.</w:t>
      </w:r>
      <w:r w:rsidR="007E6FDF" w:rsidRPr="00C55315">
        <w:rPr>
          <w:rFonts w:ascii="Times New Roman" w:hAnsi="Times New Roman" w:cs="Times New Roman"/>
          <w:bCs/>
          <w:sz w:val="28"/>
          <w:szCs w:val="28"/>
        </w:rPr>
        <w:t>,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 xml:space="preserve"> poz.893</w:t>
      </w:r>
      <w:r w:rsidR="00D52B9D">
        <w:rPr>
          <w:rFonts w:ascii="Times New Roman" w:hAnsi="Times New Roman" w:cs="Times New Roman"/>
          <w:bCs/>
          <w:sz w:val="28"/>
          <w:szCs w:val="28"/>
        </w:rPr>
        <w:t xml:space="preserve"> ze zm.</w:t>
      </w:r>
      <w:r w:rsidR="003E2681" w:rsidRPr="00C55315">
        <w:rPr>
          <w:rFonts w:ascii="Times New Roman" w:hAnsi="Times New Roman" w:cs="Times New Roman"/>
          <w:sz w:val="28"/>
          <w:szCs w:val="28"/>
        </w:rPr>
        <w:t>).</w:t>
      </w:r>
    </w:p>
    <w:p w14:paraId="6B48E7E1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ECF009" w14:textId="0B8C35E5" w:rsid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sprawach nieuregulowanych umową mają zastosowanie przepisy ustawy z dnia 23 kwietnia 1964 r. Kodeks cywilny (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Dz.U. z 2022</w:t>
      </w:r>
      <w:r w:rsidR="0032429A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r., poz.1360</w:t>
      </w:r>
      <w:r w:rsidR="00D52B9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ze zm.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</w:t>
      </w:r>
      <w:r w:rsidR="000A4C4D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2C5E16B9" w14:textId="278F9251" w:rsidR="00D21A4C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zgłaszających naruszenia prawa Unii, 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09A6F8E" w14:textId="55CC32BC" w:rsidR="00D21A4C" w:rsidRPr="00715FF4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237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7AF8A67E" w14:textId="77777777" w:rsidR="00DC6F35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posiadania procedury postępowania wobec osób zgłaszających nadużycia w związku z realizacją zamówienia.</w:t>
      </w:r>
    </w:p>
    <w:p w14:paraId="275E682C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4C96689B" w14:textId="77777777" w:rsidR="00DC6F35" w:rsidRPr="00DC6F35" w:rsidRDefault="0078501B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trakcie realizacji dostawy będącej przedmiotem umowy, na terenie Zamawiającego, zobowiązuje się postępować zgodnie z „Informacją środowiskową dla firm współpracujących z Centrum Onkologii” określoną w Załączniku nr 6 do niniejszej umowy oraz „Informacją o zagrożeniach występujących na terenie Centrum Onkologii - dla firm współpracujących z Centrum” określoną w Załączniku nr 7 do niniejszej umowy, a także przestrzegać treści określonych w dokumencie „Wymagania w zakresie BHP i ppoż. dla firm współpracujących,  których pracownicy wykonują prace na terenie Centrum Onkologii” zdefiniowanym w Załączniku nr 8.</w:t>
      </w:r>
    </w:p>
    <w:p w14:paraId="1FC3EB25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tronami, których nie da się rozstrzygnąć polubownie, wynikłe w związku albo na podstawie niniejszej umowy, będą rozstrzygane przez właściwy Sąd dla siedziby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0BB105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7A65A8F8" w14:textId="77777777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27A18485" w:rsidR="006D43CB" w:rsidRPr="00DC6F35" w:rsidRDefault="006D43CB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7F26DF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7F26DF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C55315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dostawy, instalacji i uruchomienia przedmiotu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3C80AF17" w14:textId="77777777" w:rsidR="006D43CB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29BEB95" w14:textId="77777777" w:rsidR="00DC6F35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C55315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Załączniki do umowy, stanowiące jej integralną część:</w:t>
      </w:r>
    </w:p>
    <w:p w14:paraId="16D0FF4B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79C73B81" w14:textId="55E8716A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77FEB93C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02152C69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6 - Informacja środowiskowa dla firm współpracujących z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                                      Centrum</w:t>
      </w:r>
    </w:p>
    <w:p w14:paraId="2F1EA25F" w14:textId="075BB183" w:rsidR="00EA33BA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552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 nr 7 - Informacja o zagrożeniach występujących na terenie Centrum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Onkologii</w:t>
      </w:r>
    </w:p>
    <w:p w14:paraId="212624BF" w14:textId="36C48E8C" w:rsidR="00D21A4C" w:rsidRPr="00D21A4C" w:rsidRDefault="00D21A4C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8 -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2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2"/>
    <w:p w14:paraId="4C603A47" w14:textId="77777777" w:rsidR="007E6FDF" w:rsidRDefault="00D21A4C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7F26D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7F26D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/>
    <w:p w14:paraId="1EB33BE3" w14:textId="5D0D3D0B" w:rsidR="00D21A4C" w:rsidRDefault="00D21A4C"/>
    <w:p w14:paraId="3175127B" w14:textId="4E5B54B5" w:rsidR="00D21A4C" w:rsidRPr="00C55315" w:rsidRDefault="00D21A4C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…………..</w:t>
      </w:r>
    </w:p>
    <w:p w14:paraId="7352D2E5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B718FB4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C55315" w:rsidRDefault="00D21A4C" w:rsidP="00C55315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Centrum Onkologii im. prof. Franciszka Łukaszczyka z siedzibą 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Bydgoszczy, ul. dr Izabeli Romanowskiej 2</w:t>
      </w:r>
    </w:p>
    <w:p w14:paraId="4F9D0F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2AC2745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0AAC8D3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93CC0E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5E87867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00F59CC0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1DE70CD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C55315" w:rsidRDefault="00D21A4C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8A2D43" w14:textId="654199CA" w:rsidR="00D21A4C" w:rsidRPr="00C55315" w:rsidRDefault="00D21A4C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Pr="00C55315" w:rsidRDefault="00CF7763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umowy tj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1D8F439F" w14:textId="151630EC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1C21F3E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6B7F9E2B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C55315" w:rsidRDefault="00D21A4C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3FCAC264" w14:textId="4B1F6A97" w:rsidR="00D21A4C" w:rsidRPr="00C55315" w:rsidRDefault="00D21A4C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3" w:name="_Hlk97099811"/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609043BA" w14:textId="0F490BAF" w:rsidR="00D21A4C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0051F07A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3"/>
    <w:p w14:paraId="198328C4" w14:textId="7AB2712C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C55315" w:rsidRDefault="00D21A4C" w:rsidP="00C55315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136DE026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3773C54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4D355E42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5D5F34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4BF6916A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E9C4DC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C55315" w:rsidRDefault="00D21A4C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27425A" w14:textId="6CAD01D9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 w:rsid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74296510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442CCB8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554E437B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C55315" w:rsidRDefault="00D21A4C" w:rsidP="00C55315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C55315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C55315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23F80" w14:textId="2769B8E7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697AE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9DD12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6CC2B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6DD9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C8E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7D28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E38C7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9140E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4695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9ECA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F85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3E2F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063A9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02F3D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52884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4202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56724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DB74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9FD9D" w14:textId="49102BBC" w:rsidR="00C55315" w:rsidRPr="00C55315" w:rsidRDefault="00C55315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72435257" w14:textId="0C6AAA76" w:rsid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31A1834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AB970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6568AB77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  w Bydgoszczy, ul. dr Izabeli Romanowskiej 2</w:t>
      </w:r>
    </w:p>
    <w:p w14:paraId="7B86F3C1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2392A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1E97B21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97C7D1" w14:textId="1728739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5D974E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2266321C" w14:textId="0589EBD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9D297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94DD85C" w14:textId="05E81AD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A72187C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6224FCD" w14:textId="77777777" w:rsidR="00C55315" w:rsidRPr="00C55315" w:rsidRDefault="00C55315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5C1D99" w14:textId="7A7062A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01E86448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B5BCEA2" w14:textId="3DCB5AC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</w:p>
    <w:p w14:paraId="1C130AB4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18E4A73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CAD3F3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dokonał uruchomienia aparatu medycznego: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C55315" w:rsidRPr="00C55315" w14:paraId="0108F854" w14:textId="77777777" w:rsidTr="007F357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231F7A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5BA1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20E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57FD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065EB8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C55315" w:rsidRPr="00C55315" w14:paraId="684329A3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02B6C0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4D9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7C1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85CF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3285C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3F7F4C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3A14647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1F97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D3F9A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DAED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495B4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0AA885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C034B8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5F18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FC6AB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58D4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17999B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8BD0A67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0EFC225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D86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52AB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F67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260056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9338822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744E92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1984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68E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45DF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675330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8D8B7D8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8FA4C1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73C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4C6E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608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865E3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D11DA4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EF6C33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potwierdza, że otrzymał wraz z przedmiotem zamówienia:</w:t>
      </w:r>
    </w:p>
    <w:p w14:paraId="1C169FEB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2B01C779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7E4E4345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dokumenty określające zasady świadczenia usług przez autoryzowany serwis w okresie gwarancyjnym i pogwarancyjnym,</w:t>
      </w:r>
    </w:p>
    <w:p w14:paraId="1B77B7DD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AD54E42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42823E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52F70ECB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AFF5776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60CB4246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0BA73BC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3BF6DA40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Uwagi i zastrzeżenia w zakresie wykonania pkt. 2, 3 niniejszego protokołu</w:t>
      </w:r>
    </w:p>
    <w:p w14:paraId="081F92E9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E5396F6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7D33C8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C6B740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0FDC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C4619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E06413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1B6C09AB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0DE51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1B187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5ACE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5D09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5FE1B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2C7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7C1A7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0F222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9E79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B9DF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081F2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CE1BA" w14:textId="77777777" w:rsidR="00C55315" w:rsidRPr="00C55315" w:rsidRDefault="00C55315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5 do umowy nr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FDC768E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7BD2B8F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CDE19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1D21340F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1DD6E829" w14:textId="77777777" w:rsidR="00C55315" w:rsidRPr="00C55315" w:rsidRDefault="00C55315" w:rsidP="00C55315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Centrum Onkologii im. prof. Franciszka Łukaszczyka w Bydgoszczy</w:t>
      </w:r>
    </w:p>
    <w:p w14:paraId="58953606" w14:textId="77777777" w:rsidR="00C55315" w:rsidRPr="00C55315" w:rsidRDefault="00C55315" w:rsidP="00C55315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z siedzibą w Bydgoszczy, ul. dr Izabeli Romanowskiej 2</w:t>
      </w:r>
    </w:p>
    <w:p w14:paraId="6F4668CE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FA4D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6DD4A034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2D6B7" w14:textId="6ED3593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AC3ECA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95A3853" w14:textId="0CDF552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2FC5C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4C46120" w14:textId="3D65FE73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0CCEFB0B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B81967B" w14:textId="77777777" w:rsidR="00C55315" w:rsidRPr="00C55315" w:rsidRDefault="00C55315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6E372" w14:textId="22B6500D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2D006282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02CFE3C1" w14:textId="3D118F5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7C61245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5BD58BC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01F765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kompleksowe szkolenie z administrowania i obsługi dostarczonego przedmiotu umowy, niżej wymienionego Personelu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327CA207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C55315" w:rsidRPr="00C55315" w14:paraId="368F20E7" w14:textId="77777777" w:rsidTr="007F357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0B33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758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9273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22993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F1A68C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Podpis przeszkolonego</w:t>
            </w:r>
          </w:p>
        </w:tc>
      </w:tr>
      <w:tr w:rsidR="00C55315" w:rsidRPr="00C55315" w14:paraId="6D0BD804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E01CE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805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63C3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176FB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6E42F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1C0AF0AD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B0CEF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C13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F262BE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2F70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8C9A5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00D4C861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FDF3B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3D816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5B54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87D92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A631E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C3B581D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7EED3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220B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1D1E6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4829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B238D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3C70AC52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0195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9F3E8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ECD2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0D15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DAF83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29404AE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F9FE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734A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B66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5628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F2C59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3846FB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BF681E" w14:textId="77777777" w:rsidR="00C55315" w:rsidRPr="00C55315" w:rsidRDefault="00C55315" w:rsidP="00C55315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1C0A4B86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001AA3" w14:textId="59A2793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690AB994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7E3EDA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E141B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5FA4C" w14:textId="77777777" w:rsidR="00C55315" w:rsidRPr="00C55315" w:rsidRDefault="00C55315" w:rsidP="00C55315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9AFE8B6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F634F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11BBB2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5A680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553ED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5797D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68EAA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FDB599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C6E4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F360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909E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DCEE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6D0ED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59F49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9B659" w14:textId="77777777" w:rsidR="00C55315" w:rsidRPr="00C55315" w:rsidRDefault="00C55315" w:rsidP="00C55315">
      <w:pPr>
        <w:spacing w:line="276" w:lineRule="auto"/>
        <w:rPr>
          <w:sz w:val="28"/>
          <w:szCs w:val="28"/>
        </w:rPr>
      </w:pPr>
    </w:p>
    <w:p w14:paraId="769F7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AAB0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E0357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0BF3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65AEA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908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FF3C9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BBF4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701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C5267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26F04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21A4C" w:rsidRPr="00C553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8F9F" w14:textId="77777777" w:rsidR="002E0319" w:rsidRDefault="002E0319" w:rsidP="007230F9">
      <w:pPr>
        <w:spacing w:after="0" w:line="240" w:lineRule="auto"/>
      </w:pPr>
      <w:r>
        <w:separator/>
      </w:r>
    </w:p>
  </w:endnote>
  <w:endnote w:type="continuationSeparator" w:id="0">
    <w:p w14:paraId="7EB8831C" w14:textId="77777777" w:rsidR="002E0319" w:rsidRDefault="002E0319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9A" w:rsidRPr="0032429A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7EFD" w14:textId="77777777" w:rsidR="002E0319" w:rsidRDefault="002E0319" w:rsidP="007230F9">
      <w:pPr>
        <w:spacing w:after="0" w:line="240" w:lineRule="auto"/>
      </w:pPr>
      <w:r>
        <w:separator/>
      </w:r>
    </w:p>
  </w:footnote>
  <w:footnote w:type="continuationSeparator" w:id="0">
    <w:p w14:paraId="4D0630FB" w14:textId="77777777" w:rsidR="002E0319" w:rsidRDefault="002E0319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2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0030">
    <w:abstractNumId w:val="0"/>
  </w:num>
  <w:num w:numId="2" w16cid:durableId="286007334">
    <w:abstractNumId w:val="1"/>
  </w:num>
  <w:num w:numId="3" w16cid:durableId="1491365203">
    <w:abstractNumId w:val="2"/>
  </w:num>
  <w:num w:numId="4" w16cid:durableId="1109159860">
    <w:abstractNumId w:val="3"/>
  </w:num>
  <w:num w:numId="5" w16cid:durableId="224264448">
    <w:abstractNumId w:val="4"/>
  </w:num>
  <w:num w:numId="6" w16cid:durableId="992946832">
    <w:abstractNumId w:val="5"/>
  </w:num>
  <w:num w:numId="7" w16cid:durableId="2012685114">
    <w:abstractNumId w:val="6"/>
  </w:num>
  <w:num w:numId="8" w16cid:durableId="823547081">
    <w:abstractNumId w:val="11"/>
  </w:num>
  <w:num w:numId="9" w16cid:durableId="1076822648">
    <w:abstractNumId w:val="29"/>
  </w:num>
  <w:num w:numId="10" w16cid:durableId="847210660">
    <w:abstractNumId w:val="21"/>
  </w:num>
  <w:num w:numId="11" w16cid:durableId="465240622">
    <w:abstractNumId w:val="7"/>
  </w:num>
  <w:num w:numId="12" w16cid:durableId="68235962">
    <w:abstractNumId w:val="8"/>
  </w:num>
  <w:num w:numId="13" w16cid:durableId="1082458515">
    <w:abstractNumId w:val="9"/>
  </w:num>
  <w:num w:numId="14" w16cid:durableId="1726683926">
    <w:abstractNumId w:val="10"/>
  </w:num>
  <w:num w:numId="15" w16cid:durableId="379522661">
    <w:abstractNumId w:val="28"/>
  </w:num>
  <w:num w:numId="16" w16cid:durableId="270281835">
    <w:abstractNumId w:val="31"/>
  </w:num>
  <w:num w:numId="17" w16cid:durableId="244582027">
    <w:abstractNumId w:val="16"/>
  </w:num>
  <w:num w:numId="18" w16cid:durableId="8109475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7114545">
    <w:abstractNumId w:val="17"/>
  </w:num>
  <w:num w:numId="20" w16cid:durableId="360398848">
    <w:abstractNumId w:val="26"/>
  </w:num>
  <w:num w:numId="21" w16cid:durableId="856042247">
    <w:abstractNumId w:val="14"/>
  </w:num>
  <w:num w:numId="22" w16cid:durableId="282924786">
    <w:abstractNumId w:val="27"/>
  </w:num>
  <w:num w:numId="23" w16cid:durableId="1495216182">
    <w:abstractNumId w:val="24"/>
  </w:num>
  <w:num w:numId="24" w16cid:durableId="550533013">
    <w:abstractNumId w:val="12"/>
  </w:num>
  <w:num w:numId="25" w16cid:durableId="1032540145">
    <w:abstractNumId w:val="18"/>
  </w:num>
  <w:num w:numId="26" w16cid:durableId="1953593148">
    <w:abstractNumId w:val="32"/>
  </w:num>
  <w:num w:numId="27" w16cid:durableId="800683416">
    <w:abstractNumId w:val="22"/>
  </w:num>
  <w:num w:numId="28" w16cid:durableId="1827284552">
    <w:abstractNumId w:val="19"/>
  </w:num>
  <w:num w:numId="29" w16cid:durableId="839126364">
    <w:abstractNumId w:val="20"/>
  </w:num>
  <w:num w:numId="30" w16cid:durableId="1965041680">
    <w:abstractNumId w:val="25"/>
  </w:num>
  <w:num w:numId="31" w16cid:durableId="991447947">
    <w:abstractNumId w:val="34"/>
  </w:num>
  <w:num w:numId="32" w16cid:durableId="619334447">
    <w:abstractNumId w:val="30"/>
  </w:num>
  <w:num w:numId="33" w16cid:durableId="1892418435">
    <w:abstractNumId w:val="33"/>
  </w:num>
  <w:num w:numId="34" w16cid:durableId="1014500720">
    <w:abstractNumId w:val="23"/>
  </w:num>
  <w:num w:numId="35" w16cid:durableId="1960911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4C"/>
    <w:rsid w:val="00034789"/>
    <w:rsid w:val="00057A6E"/>
    <w:rsid w:val="00071FBB"/>
    <w:rsid w:val="000759CD"/>
    <w:rsid w:val="00076F93"/>
    <w:rsid w:val="000A4C4D"/>
    <w:rsid w:val="000A7157"/>
    <w:rsid w:val="000E4879"/>
    <w:rsid w:val="00134B47"/>
    <w:rsid w:val="00144A2A"/>
    <w:rsid w:val="001731B6"/>
    <w:rsid w:val="001A5E00"/>
    <w:rsid w:val="001B5C23"/>
    <w:rsid w:val="001C39BA"/>
    <w:rsid w:val="001D5EA2"/>
    <w:rsid w:val="001E07D5"/>
    <w:rsid w:val="001E20D2"/>
    <w:rsid w:val="002175AA"/>
    <w:rsid w:val="00266400"/>
    <w:rsid w:val="002874E6"/>
    <w:rsid w:val="00293158"/>
    <w:rsid w:val="002A48E9"/>
    <w:rsid w:val="002E0319"/>
    <w:rsid w:val="002F7E36"/>
    <w:rsid w:val="00304A25"/>
    <w:rsid w:val="0032429A"/>
    <w:rsid w:val="003278E5"/>
    <w:rsid w:val="00332B81"/>
    <w:rsid w:val="00334A12"/>
    <w:rsid w:val="00376B3E"/>
    <w:rsid w:val="00395E34"/>
    <w:rsid w:val="003E2681"/>
    <w:rsid w:val="0040282E"/>
    <w:rsid w:val="004048D0"/>
    <w:rsid w:val="00415A96"/>
    <w:rsid w:val="00420D41"/>
    <w:rsid w:val="00447CF5"/>
    <w:rsid w:val="00451B19"/>
    <w:rsid w:val="00472A12"/>
    <w:rsid w:val="0050722B"/>
    <w:rsid w:val="00510153"/>
    <w:rsid w:val="00514670"/>
    <w:rsid w:val="00521630"/>
    <w:rsid w:val="00535F76"/>
    <w:rsid w:val="00542849"/>
    <w:rsid w:val="005B0C36"/>
    <w:rsid w:val="005C79CC"/>
    <w:rsid w:val="005E0173"/>
    <w:rsid w:val="006042DE"/>
    <w:rsid w:val="00606B82"/>
    <w:rsid w:val="006076B4"/>
    <w:rsid w:val="006A74DC"/>
    <w:rsid w:val="006B1899"/>
    <w:rsid w:val="006C486F"/>
    <w:rsid w:val="006D2BED"/>
    <w:rsid w:val="006D43CB"/>
    <w:rsid w:val="006E2D6B"/>
    <w:rsid w:val="00710DBE"/>
    <w:rsid w:val="0071296B"/>
    <w:rsid w:val="00715FF4"/>
    <w:rsid w:val="007230F9"/>
    <w:rsid w:val="00757FF1"/>
    <w:rsid w:val="0078501B"/>
    <w:rsid w:val="007C55BC"/>
    <w:rsid w:val="007E62E3"/>
    <w:rsid w:val="007E6FDF"/>
    <w:rsid w:val="007F26DF"/>
    <w:rsid w:val="00807344"/>
    <w:rsid w:val="008217F5"/>
    <w:rsid w:val="00831471"/>
    <w:rsid w:val="008315BA"/>
    <w:rsid w:val="00857359"/>
    <w:rsid w:val="008933E5"/>
    <w:rsid w:val="008939DE"/>
    <w:rsid w:val="008A5BE7"/>
    <w:rsid w:val="008B6668"/>
    <w:rsid w:val="008E0A13"/>
    <w:rsid w:val="00910A40"/>
    <w:rsid w:val="00916C69"/>
    <w:rsid w:val="009A2D03"/>
    <w:rsid w:val="009F2DA0"/>
    <w:rsid w:val="00A11EC3"/>
    <w:rsid w:val="00A3153C"/>
    <w:rsid w:val="00A46F60"/>
    <w:rsid w:val="00A6393F"/>
    <w:rsid w:val="00A82893"/>
    <w:rsid w:val="00A917D7"/>
    <w:rsid w:val="00AE7FBA"/>
    <w:rsid w:val="00B01DC1"/>
    <w:rsid w:val="00B05544"/>
    <w:rsid w:val="00B34817"/>
    <w:rsid w:val="00B73801"/>
    <w:rsid w:val="00B74927"/>
    <w:rsid w:val="00B83815"/>
    <w:rsid w:val="00BB29AE"/>
    <w:rsid w:val="00BF6BA7"/>
    <w:rsid w:val="00C5502E"/>
    <w:rsid w:val="00C55315"/>
    <w:rsid w:val="00C855AF"/>
    <w:rsid w:val="00CB755D"/>
    <w:rsid w:val="00CD658D"/>
    <w:rsid w:val="00CE53BF"/>
    <w:rsid w:val="00CE76BA"/>
    <w:rsid w:val="00CF34F6"/>
    <w:rsid w:val="00CF498B"/>
    <w:rsid w:val="00CF7763"/>
    <w:rsid w:val="00D21A4C"/>
    <w:rsid w:val="00D23B71"/>
    <w:rsid w:val="00D24818"/>
    <w:rsid w:val="00D52B9D"/>
    <w:rsid w:val="00DB1AE8"/>
    <w:rsid w:val="00DC6F35"/>
    <w:rsid w:val="00E129C1"/>
    <w:rsid w:val="00E34AA0"/>
    <w:rsid w:val="00E37362"/>
    <w:rsid w:val="00E449A6"/>
    <w:rsid w:val="00E658E9"/>
    <w:rsid w:val="00E8098C"/>
    <w:rsid w:val="00EA33BA"/>
    <w:rsid w:val="00EB64D1"/>
    <w:rsid w:val="00F019F1"/>
    <w:rsid w:val="00F202C1"/>
    <w:rsid w:val="00F276DF"/>
    <w:rsid w:val="00F44195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3455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Kotlarek</dc:creator>
  <cp:keywords/>
  <dc:description/>
  <cp:lastModifiedBy>Agnieszka Pietrzak</cp:lastModifiedBy>
  <cp:revision>2</cp:revision>
  <cp:lastPrinted>2022-12-21T10:15:00Z</cp:lastPrinted>
  <dcterms:created xsi:type="dcterms:W3CDTF">2023-04-19T07:30:00Z</dcterms:created>
  <dcterms:modified xsi:type="dcterms:W3CDTF">2023-04-19T07:30:00Z</dcterms:modified>
</cp:coreProperties>
</file>